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hAnsi="新宋体" w:eastAsia="仿宋_GB2312" w:cs="仿宋_GB2312"/>
          <w:color w:val="000000"/>
          <w:kern w:val="0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</w:rPr>
      </w:pPr>
      <w:r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</w:rPr>
        <w:t>关于</w:t>
      </w:r>
      <w:r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  <w:lang w:eastAsia="zh-CN"/>
        </w:rPr>
        <w:t>浦发银行</w:t>
      </w:r>
      <w:r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  <w:lang w:val="en-US" w:eastAsia="zh-CN"/>
        </w:rPr>
        <w:t>长沙</w:t>
      </w:r>
      <w:r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  <w:lang w:eastAsia="zh-CN"/>
        </w:rPr>
        <w:t>同城</w:t>
      </w:r>
      <w:r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  <w:lang w:val="en-US" w:eastAsia="zh-CN"/>
        </w:rPr>
        <w:t>自助设备运维外包</w:t>
      </w:r>
      <w:r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  <w:lang w:eastAsia="zh-CN"/>
        </w:rPr>
        <w:t>采购项目</w:t>
      </w:r>
      <w:r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</w:rPr>
        <w:t>单一来源采购信息公告</w:t>
      </w:r>
    </w:p>
    <w:p>
      <w:pPr>
        <w:snapToGrid w:val="0"/>
        <w:spacing w:line="360" w:lineRule="auto"/>
        <w:jc w:val="center"/>
        <w:rPr>
          <w:rFonts w:hint="eastAsia" w:ascii="仿宋_GB2312" w:hAnsi="新宋体" w:eastAsia="仿宋_GB2312" w:cs="仿宋_GB2312"/>
          <w:b/>
          <w:color w:val="000000"/>
          <w:kern w:val="0"/>
          <w:sz w:val="44"/>
          <w:szCs w:val="44"/>
        </w:rPr>
      </w:pPr>
    </w:p>
    <w:p>
      <w:pPr>
        <w:snapToGrid w:val="0"/>
        <w:spacing w:line="360" w:lineRule="auto"/>
        <w:ind w:firstLine="640"/>
        <w:jc w:val="both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  <w:t>根据财政部《国有金融企业集中采购管理暂行规定》（财金[2018]9号）和上海浦东发展银行采购相关规定，现对</w:t>
      </w: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  <w:lang w:val="en-US" w:eastAsia="zh-CN"/>
        </w:rPr>
        <w:t>浦发银行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val="en-US" w:eastAsia="zh-CN"/>
        </w:rPr>
        <w:t>长沙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eastAsia="zh-CN"/>
        </w:rPr>
        <w:t>同城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val="en-US" w:eastAsia="zh-CN"/>
        </w:rPr>
        <w:t>自助设备运维外包</w:t>
      </w: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  <w:t>采购信息公示如下：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_GB2312" w:eastAsia="仿宋_GB2312" w:hAnsiTheme="minorEastAsia"/>
          <w:color w:val="000000"/>
          <w:sz w:val="28"/>
          <w:szCs w:val="28"/>
        </w:rPr>
      </w:pP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  <w:t>项目名称：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eastAsia="zh-CN"/>
        </w:rPr>
        <w:t>浦发银行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val="en-US" w:eastAsia="zh-CN"/>
        </w:rPr>
        <w:t>长沙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eastAsia="zh-CN"/>
        </w:rPr>
        <w:t>同城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val="en-US" w:eastAsia="zh-CN"/>
        </w:rPr>
        <w:t>自助设备运维外包</w:t>
      </w:r>
      <w:r>
        <w:rPr>
          <w:rFonts w:hint="eastAsia" w:ascii="仿宋_GB2312" w:eastAsia="仿宋_GB2312" w:hAnsiTheme="minorEastAsia"/>
          <w:color w:val="000000"/>
          <w:sz w:val="28"/>
          <w:szCs w:val="28"/>
          <w:lang w:eastAsia="zh-CN"/>
        </w:rPr>
        <w:t xml:space="preserve">采购项目   </w:t>
      </w:r>
    </w:p>
    <w:p>
      <w:pPr>
        <w:numPr>
          <w:ilvl w:val="0"/>
          <w:numId w:val="1"/>
        </w:numPr>
        <w:ind w:left="720" w:leftChars="0" w:hanging="720" w:firstLineChars="0"/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  <w:t>采购项目编号：SPDB-660-ZH-2024FW0016</w:t>
      </w:r>
    </w:p>
    <w:p>
      <w:pPr>
        <w:numPr>
          <w:numId w:val="0"/>
        </w:numPr>
        <w:ind w:leftChars="0"/>
        <w:rPr>
          <w:rFonts w:hint="default" w:ascii="仿宋_GB2312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  <w:t>三、采购内容：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长沙分行同城自助设备运维外包服务</w:t>
      </w:r>
    </w:p>
    <w:p>
      <w:pPr>
        <w:snapToGrid w:val="0"/>
        <w:spacing w:line="360" w:lineRule="auto"/>
        <w:jc w:val="left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  <w:t xml:space="preserve">四、采购方式： 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单一来源采购</w:t>
      </w:r>
    </w:p>
    <w:p>
      <w:pPr>
        <w:snapToGrid w:val="0"/>
        <w:spacing w:line="360" w:lineRule="auto"/>
        <w:jc w:val="left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五、候选供应商：</w:t>
      </w:r>
      <w:r>
        <w:rPr>
          <w:rFonts w:hint="default" w:ascii="仿宋_GB2312" w:hAnsi="仿宋" w:eastAsia="仿宋_GB2312"/>
          <w:color w:val="000000"/>
          <w:sz w:val="28"/>
          <w:szCs w:val="28"/>
        </w:rPr>
        <w:fldChar w:fldCharType="begin"/>
      </w:r>
      <w:r>
        <w:rPr>
          <w:rFonts w:hint="default" w:ascii="仿宋_GB2312" w:hAnsi="仿宋" w:eastAsia="仿宋_GB2312"/>
          <w:color w:val="000000"/>
          <w:sz w:val="28"/>
          <w:szCs w:val="28"/>
        </w:rPr>
        <w:instrText xml:space="preserve"> HYPERLINK "javascript:openSupplierDetail('54017','','91430100MA4L1PUM85','长沙新天地金融服务科技有限公司');" </w:instrText>
      </w:r>
      <w:r>
        <w:rPr>
          <w:rFonts w:hint="default" w:ascii="仿宋_GB2312" w:hAnsi="仿宋" w:eastAsia="仿宋_GB2312"/>
          <w:color w:val="000000"/>
          <w:sz w:val="28"/>
          <w:szCs w:val="28"/>
        </w:rPr>
        <w:fldChar w:fldCharType="separate"/>
      </w:r>
      <w:r>
        <w:rPr>
          <w:rFonts w:hint="default" w:ascii="仿宋_GB2312" w:hAnsi="仿宋" w:eastAsia="仿宋_GB2312"/>
          <w:color w:val="000000"/>
          <w:sz w:val="28"/>
          <w:szCs w:val="28"/>
        </w:rPr>
        <w:t>长沙新天地金融服务科技有限公司</w:t>
      </w:r>
      <w:r>
        <w:rPr>
          <w:rFonts w:hint="default" w:ascii="仿宋_GB2312" w:hAnsi="仿宋" w:eastAsia="仿宋_GB2312"/>
          <w:color w:val="000000"/>
          <w:sz w:val="28"/>
          <w:szCs w:val="28"/>
        </w:rPr>
        <w:fldChar w:fldCharType="end"/>
      </w:r>
    </w:p>
    <w:p>
      <w:pPr>
        <w:snapToGrid w:val="0"/>
        <w:spacing w:line="360" w:lineRule="auto"/>
        <w:ind w:left="560" w:hanging="560" w:hangingChars="200"/>
        <w:jc w:val="both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六、单一来源采购理由：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分行办公室委托龙武国际工程咨询有限公司分别于2024年3月13日、2024年3月25日，在中国招投标公共服务平台发布了两轮招标公告，两次挂网报名期间，仅有符合条件的长沙新天地金融服务科技有限公司参与报名。因两次招标未能满足开标条件，按流标方式处理。根据《财政部第87号》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、总分行采购管理要求以及当地市场调研情况，</w:t>
      </w:r>
      <w:r>
        <w:rPr>
          <w:rFonts w:hint="default" w:ascii="仿宋_GB2312" w:hAnsi="仿宋" w:eastAsia="仿宋_GB2312"/>
          <w:color w:val="000000"/>
          <w:sz w:val="28"/>
          <w:szCs w:val="28"/>
        </w:rPr>
        <w:fldChar w:fldCharType="begin"/>
      </w:r>
      <w:r>
        <w:rPr>
          <w:rFonts w:hint="default" w:ascii="仿宋_GB2312" w:hAnsi="仿宋" w:eastAsia="仿宋_GB2312"/>
          <w:color w:val="000000"/>
          <w:sz w:val="28"/>
          <w:szCs w:val="28"/>
        </w:rPr>
        <w:instrText xml:space="preserve"> HYPERLINK "javascript:openSupplierDetail('54017','','91430100MA4L1PUM85','长沙新天地金融服务科技有限公司');" </w:instrText>
      </w:r>
      <w:r>
        <w:rPr>
          <w:rFonts w:hint="default" w:ascii="仿宋_GB2312" w:hAnsi="仿宋" w:eastAsia="仿宋_GB2312"/>
          <w:color w:val="000000"/>
          <w:sz w:val="28"/>
          <w:szCs w:val="28"/>
        </w:rPr>
        <w:fldChar w:fldCharType="separate"/>
      </w:r>
      <w:r>
        <w:rPr>
          <w:rFonts w:hint="default" w:ascii="仿宋_GB2312" w:hAnsi="仿宋" w:eastAsia="仿宋_GB2312"/>
          <w:color w:val="000000"/>
          <w:sz w:val="28"/>
          <w:szCs w:val="28"/>
        </w:rPr>
        <w:t>长沙新天地金融服务科技有限公司</w:t>
      </w:r>
      <w:r>
        <w:rPr>
          <w:rFonts w:hint="default" w:ascii="仿宋_GB2312" w:hAnsi="仿宋" w:eastAsia="仿宋_GB2312"/>
          <w:color w:val="000000"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已在当地承接各金融机构相关外包业务，公司各项资质以及外包服务经验均符合我行采购需求，故申请对本次自助设备运维服务外包项目采取单一来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源方式。</w:t>
      </w:r>
    </w:p>
    <w:p>
      <w:pPr>
        <w:snapToGrid w:val="0"/>
        <w:spacing w:line="360" w:lineRule="auto"/>
        <w:ind w:left="560" w:hanging="560" w:hangingChars="200"/>
        <w:jc w:val="left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七、对本项目采购情况、采购方式、拟邀请供应商等有异议的，可以自本公示5个工作日内，以书面形式向相关部门提出。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联系人：上海浦东发展银行股份有限公司</w:t>
      </w:r>
    </w:p>
    <w:p>
      <w:pPr>
        <w:snapToGrid w:val="0"/>
        <w:spacing w:line="360" w:lineRule="auto"/>
        <w:ind w:left="720"/>
        <w:rPr>
          <w:rFonts w:ascii="仿宋_GB2312" w:hAnsi="新宋体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新宋体" w:eastAsia="仿宋_GB2312" w:cs="仿宋_GB2312"/>
          <w:color w:val="000000"/>
          <w:kern w:val="0"/>
          <w:sz w:val="28"/>
          <w:szCs w:val="28"/>
        </w:rPr>
        <w:t>联系电话：</w:t>
      </w:r>
      <w:r>
        <w:rPr>
          <w:rFonts w:hint="eastAsia" w:ascii="仿宋_GB2312" w:hAnsi="新宋体" w:eastAsia="仿宋_GB2312" w:cs="仿宋_GB2312"/>
          <w:b/>
          <w:bCs/>
          <w:color w:val="000000"/>
          <w:kern w:val="0"/>
          <w:sz w:val="28"/>
          <w:szCs w:val="28"/>
        </w:rPr>
        <w:t>dcsc02@spdb.com.cn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F0D81"/>
    <w:multiLevelType w:val="multilevel"/>
    <w:tmpl w:val="60EF0D8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BD"/>
    <w:rsid w:val="00214C3E"/>
    <w:rsid w:val="00403575"/>
    <w:rsid w:val="0045655F"/>
    <w:rsid w:val="004E0985"/>
    <w:rsid w:val="004E34F4"/>
    <w:rsid w:val="004F4BD4"/>
    <w:rsid w:val="00586733"/>
    <w:rsid w:val="005B66D3"/>
    <w:rsid w:val="005C6933"/>
    <w:rsid w:val="00623B81"/>
    <w:rsid w:val="00627718"/>
    <w:rsid w:val="006367BD"/>
    <w:rsid w:val="006A148D"/>
    <w:rsid w:val="006F0A2B"/>
    <w:rsid w:val="006F4EDB"/>
    <w:rsid w:val="00794932"/>
    <w:rsid w:val="007D60D0"/>
    <w:rsid w:val="00801AEA"/>
    <w:rsid w:val="008163E3"/>
    <w:rsid w:val="008D15BD"/>
    <w:rsid w:val="009106AB"/>
    <w:rsid w:val="009D4D28"/>
    <w:rsid w:val="009E0F6A"/>
    <w:rsid w:val="009F0372"/>
    <w:rsid w:val="009F26C9"/>
    <w:rsid w:val="00A420B9"/>
    <w:rsid w:val="00AF4321"/>
    <w:rsid w:val="00B03162"/>
    <w:rsid w:val="00CC1D20"/>
    <w:rsid w:val="00CE0CDB"/>
    <w:rsid w:val="00CF752B"/>
    <w:rsid w:val="00D67CC8"/>
    <w:rsid w:val="00DD0C8E"/>
    <w:rsid w:val="00F80489"/>
    <w:rsid w:val="00FE6587"/>
    <w:rsid w:val="0DAD7EEB"/>
    <w:rsid w:val="21C13E34"/>
    <w:rsid w:val="31522312"/>
    <w:rsid w:val="3AA147A1"/>
    <w:rsid w:val="653C47A6"/>
    <w:rsid w:val="74124434"/>
    <w:rsid w:val="78936A4A"/>
    <w:rsid w:val="7CE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rFonts w:hint="eastAsia" w:ascii="宋体" w:hAnsi="宋体" w:eastAsia="宋体" w:cs="宋体"/>
      <w:color w:val="3B7FBC"/>
      <w:sz w:val="18"/>
      <w:szCs w:val="18"/>
      <w:u w:val="none"/>
    </w:rPr>
  </w:style>
  <w:style w:type="character" w:styleId="7">
    <w:name w:val="Hyperlink"/>
    <w:basedOn w:val="5"/>
    <w:semiHidden/>
    <w:unhideWhenUsed/>
    <w:qFormat/>
    <w:uiPriority w:val="99"/>
    <w:rPr>
      <w:rFonts w:hint="eastAsia" w:ascii="宋体" w:hAnsi="宋体" w:eastAsia="宋体"/>
      <w:color w:val="3B7FBC"/>
      <w:sz w:val="18"/>
      <w:szCs w:val="18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ruweitli_l"/>
    <w:basedOn w:val="5"/>
    <w:qFormat/>
    <w:uiPriority w:val="0"/>
  </w:style>
  <w:style w:type="character" w:customStyle="1" w:styleId="12">
    <w:name w:val="span_style"/>
    <w:basedOn w:val="5"/>
    <w:qFormat/>
    <w:uiPriority w:val="0"/>
    <w:rPr>
      <w:color w:val="FF0000"/>
    </w:rPr>
  </w:style>
  <w:style w:type="character" w:customStyle="1" w:styleId="13">
    <w:name w:val="span_style1"/>
    <w:basedOn w:val="5"/>
    <w:qFormat/>
    <w:uiPriority w:val="0"/>
    <w:rPr>
      <w:color w:val="FF0000"/>
    </w:rPr>
  </w:style>
  <w:style w:type="character" w:customStyle="1" w:styleId="14">
    <w:name w:val="span_style2"/>
    <w:basedOn w:val="5"/>
    <w:qFormat/>
    <w:uiPriority w:val="0"/>
    <w:rPr>
      <w:color w:val="FF0000"/>
    </w:rPr>
  </w:style>
  <w:style w:type="character" w:customStyle="1" w:styleId="15">
    <w:name w:val="topmenuf"/>
    <w:basedOn w:val="5"/>
    <w:qFormat/>
    <w:uiPriority w:val="0"/>
  </w:style>
  <w:style w:type="character" w:customStyle="1" w:styleId="16">
    <w:name w:val="dbrwr_aclil"/>
    <w:basedOn w:val="5"/>
    <w:qFormat/>
    <w:uiPriority w:val="0"/>
  </w:style>
  <w:style w:type="character" w:customStyle="1" w:styleId="17">
    <w:name w:val="dbrwr_aclir"/>
    <w:basedOn w:val="5"/>
    <w:qFormat/>
    <w:uiPriority w:val="0"/>
    <w:rPr>
      <w:color w:val="999999"/>
    </w:rPr>
  </w:style>
  <w:style w:type="character" w:customStyle="1" w:styleId="18">
    <w:name w:val="stabls_r"/>
    <w:basedOn w:val="5"/>
    <w:qFormat/>
    <w:uiPriority w:val="0"/>
  </w:style>
  <w:style w:type="character" w:customStyle="1" w:styleId="19">
    <w:name w:val="fieldsets"/>
    <w:basedOn w:val="5"/>
    <w:qFormat/>
    <w:uiPriority w:val="0"/>
  </w:style>
  <w:style w:type="character" w:customStyle="1" w:styleId="20">
    <w:name w:val="fieldsetf"/>
    <w:basedOn w:val="5"/>
    <w:qFormat/>
    <w:uiPriority w:val="0"/>
  </w:style>
  <w:style w:type="character" w:customStyle="1" w:styleId="21">
    <w:name w:val="stabls_l"/>
    <w:basedOn w:val="5"/>
    <w:uiPriority w:val="0"/>
  </w:style>
  <w:style w:type="character" w:customStyle="1" w:styleId="22">
    <w:name w:val="stabls_l1"/>
    <w:basedOn w:val="5"/>
    <w:qFormat/>
    <w:uiPriority w:val="0"/>
  </w:style>
  <w:style w:type="character" w:customStyle="1" w:styleId="23">
    <w:name w:val="stabls_l2"/>
    <w:basedOn w:val="5"/>
    <w:qFormat/>
    <w:uiPriority w:val="0"/>
  </w:style>
  <w:style w:type="character" w:customStyle="1" w:styleId="24">
    <w:name w:val="paginate_button"/>
    <w:basedOn w:val="5"/>
    <w:qFormat/>
    <w:uiPriority w:val="0"/>
    <w:rPr>
      <w:bdr w:val="single" w:color="AAAAAA" w:sz="6" w:space="0"/>
      <w:shd w:val="clear" w:fill="DDDDDD"/>
    </w:rPr>
  </w:style>
  <w:style w:type="character" w:customStyle="1" w:styleId="25">
    <w:name w:val="topmenui"/>
    <w:basedOn w:val="5"/>
    <w:qFormat/>
    <w:uiPriority w:val="0"/>
  </w:style>
  <w:style w:type="character" w:customStyle="1" w:styleId="26">
    <w:name w:val="active1"/>
    <w:basedOn w:val="5"/>
    <w:qFormat/>
    <w:uiPriority w:val="0"/>
    <w:rPr>
      <w:color w:val="4386C2"/>
      <w:bdr w:val="single" w:color="4386C2" w:sz="6" w:space="0"/>
    </w:rPr>
  </w:style>
  <w:style w:type="character" w:customStyle="1" w:styleId="27">
    <w:name w:val="stabls_m"/>
    <w:basedOn w:val="5"/>
    <w:qFormat/>
    <w:uiPriority w:val="0"/>
  </w:style>
  <w:style w:type="character" w:customStyle="1" w:styleId="28">
    <w:name w:val="stabls_m1"/>
    <w:basedOn w:val="5"/>
    <w:qFormat/>
    <w:uiPriority w:val="0"/>
  </w:style>
  <w:style w:type="character" w:customStyle="1" w:styleId="29">
    <w:name w:val="paginate_active"/>
    <w:basedOn w:val="5"/>
    <w:qFormat/>
    <w:uiPriority w:val="0"/>
    <w:rPr>
      <w:bdr w:val="single" w:color="AAAAAA" w:sz="6" w:space="0"/>
      <w:shd w:val="clear" w:fill="99B3FF"/>
    </w:rPr>
  </w:style>
  <w:style w:type="character" w:customStyle="1" w:styleId="30">
    <w:name w:val="hover31"/>
    <w:basedOn w:val="5"/>
    <w:qFormat/>
    <w:uiPriority w:val="0"/>
    <w:rPr>
      <w:color w:val="4386C2"/>
      <w:bdr w:val="single" w:color="4386C2" w:sz="6" w:space="0"/>
    </w:rPr>
  </w:style>
  <w:style w:type="character" w:customStyle="1" w:styleId="31">
    <w:name w:val="searchf"/>
    <w:basedOn w:val="5"/>
    <w:qFormat/>
    <w:uiPriority w:val="0"/>
  </w:style>
  <w:style w:type="character" w:customStyle="1" w:styleId="32">
    <w:name w:val="searchs"/>
    <w:basedOn w:val="5"/>
    <w:qFormat/>
    <w:uiPriority w:val="0"/>
  </w:style>
  <w:style w:type="character" w:customStyle="1" w:styleId="33">
    <w:name w:val="ruweitli_r"/>
    <w:basedOn w:val="5"/>
    <w:qFormat/>
    <w:uiPriority w:val="0"/>
  </w:style>
  <w:style w:type="character" w:customStyle="1" w:styleId="34">
    <w:name w:val="stabls_r1"/>
    <w:basedOn w:val="5"/>
    <w:uiPriority w:val="0"/>
  </w:style>
  <w:style w:type="character" w:customStyle="1" w:styleId="35">
    <w:name w:val="stabls_r2"/>
    <w:basedOn w:val="5"/>
    <w:qFormat/>
    <w:uiPriority w:val="0"/>
  </w:style>
  <w:style w:type="character" w:customStyle="1" w:styleId="36">
    <w:name w:val="hover27"/>
    <w:basedOn w:val="5"/>
    <w:uiPriority w:val="0"/>
    <w:rPr>
      <w:color w:val="4386C2"/>
      <w:bdr w:val="single" w:color="4386C2" w:sz="6" w:space="0"/>
    </w:rPr>
  </w:style>
  <w:style w:type="character" w:customStyle="1" w:styleId="37">
    <w:name w:val="hover29"/>
    <w:basedOn w:val="5"/>
    <w:uiPriority w:val="0"/>
    <w:rPr>
      <w:color w:val="4386C2"/>
      <w:bdr w:val="single" w:color="4386C2" w:sz="6" w:space="0"/>
    </w:rPr>
  </w:style>
  <w:style w:type="character" w:customStyle="1" w:styleId="38">
    <w:name w:val="topmenuf1"/>
    <w:basedOn w:val="5"/>
    <w:uiPriority w:val="0"/>
  </w:style>
  <w:style w:type="character" w:customStyle="1" w:styleId="39">
    <w:name w:val="stabls_r11"/>
    <w:basedOn w:val="5"/>
    <w:uiPriority w:val="0"/>
  </w:style>
  <w:style w:type="character" w:customStyle="1" w:styleId="40">
    <w:name w:val="topmenui1"/>
    <w:basedOn w:val="5"/>
    <w:uiPriority w:val="0"/>
  </w:style>
  <w:style w:type="character" w:customStyle="1" w:styleId="41">
    <w:name w:val="stabls_l11"/>
    <w:basedOn w:val="5"/>
    <w:uiPriority w:val="0"/>
  </w:style>
  <w:style w:type="character" w:customStyle="1" w:styleId="42">
    <w:name w:val="stabls_l3"/>
    <w:basedOn w:val="5"/>
    <w:uiPriority w:val="0"/>
  </w:style>
  <w:style w:type="character" w:customStyle="1" w:styleId="43">
    <w:name w:val="stabls_r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1</TotalTime>
  <ScaleCrop>false</ScaleCrop>
  <LinksUpToDate>false</LinksUpToDate>
  <CharactersWithSpaces>744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2022-07-08T07:55:00Z</dcterms:created>
  <dc:creator>user</dc:creator>
  <cp:lastModifiedBy>赵智</cp:lastModifiedBy>
  <dcterms:modified xsi:type="dcterms:W3CDTF">2024-04-08T03:14:03Z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EE1C28EA7ECF4FADB8C5EEAE8364BA9C</vt:lpwstr>
  </property>
</Properties>
</file>